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3DEC" w14:textId="3BD842B5" w:rsidR="00DE4165" w:rsidRPr="00BF780C" w:rsidRDefault="00DE4165" w:rsidP="00DE4165">
      <w:pPr>
        <w:jc w:val="both"/>
        <w:rPr>
          <w:sz w:val="20"/>
          <w:szCs w:val="20"/>
        </w:rPr>
      </w:pPr>
      <w:r w:rsidRPr="00BF780C">
        <w:rPr>
          <w:sz w:val="20"/>
          <w:szCs w:val="20"/>
        </w:rPr>
        <w:t xml:space="preserve">The High-Growth Spinout Programme (HGSP) supports the commercialisation of leading-edge technologies emerging from Scotland's universities, research institutes and NHS Boards.  The objective of the Programme is to support the creation of new high-growth companies based in Scotland, with the potential and capability to grow to companies of scale and generate significant economic impact in Scotland.  </w:t>
      </w:r>
      <w:r w:rsidR="006D486E" w:rsidRPr="00BF780C">
        <w:rPr>
          <w:sz w:val="20"/>
          <w:szCs w:val="20"/>
        </w:rPr>
        <w:t>(</w:t>
      </w:r>
      <w:r w:rsidR="00E667B4" w:rsidRPr="00BF780C">
        <w:rPr>
          <w:sz w:val="20"/>
          <w:szCs w:val="20"/>
        </w:rPr>
        <w:t>Further information on the Programme is provided in the application guidelines</w:t>
      </w:r>
      <w:r w:rsidR="006D486E" w:rsidRPr="00BF780C">
        <w:rPr>
          <w:sz w:val="20"/>
          <w:szCs w:val="20"/>
        </w:rPr>
        <w:t>)</w:t>
      </w:r>
      <w:r w:rsidR="00E667B4" w:rsidRPr="00BF780C">
        <w:rPr>
          <w:sz w:val="20"/>
          <w:szCs w:val="20"/>
        </w:rPr>
        <w:t>.</w:t>
      </w:r>
    </w:p>
    <w:p w14:paraId="77D24CA5" w14:textId="77777777" w:rsidR="00B112E0" w:rsidRPr="00BF780C" w:rsidRDefault="00B112E0" w:rsidP="00B112E0">
      <w:pPr>
        <w:spacing w:after="0" w:line="240" w:lineRule="auto"/>
        <w:jc w:val="both"/>
        <w:rPr>
          <w:sz w:val="20"/>
          <w:szCs w:val="20"/>
        </w:rPr>
      </w:pPr>
      <w:r w:rsidRPr="00BF780C">
        <w:rPr>
          <w:sz w:val="20"/>
          <w:szCs w:val="20"/>
        </w:rPr>
        <w:t xml:space="preserve">It is anticipated that this Call will make a valuable contribution to the </w:t>
      </w:r>
      <w:r w:rsidRPr="00BF780C">
        <w:rPr>
          <w:sz w:val="20"/>
          <w:szCs w:val="20"/>
          <w:lang w:val="en-US"/>
        </w:rPr>
        <w:t xml:space="preserve">health and care innovation ecosystem by providing </w:t>
      </w:r>
      <w:r w:rsidRPr="00BF780C">
        <w:rPr>
          <w:sz w:val="20"/>
          <w:szCs w:val="20"/>
        </w:rPr>
        <w:t xml:space="preserve">supportive conditions in which new digital health companies can develop and spin out successfully from Scotland’s research base. </w:t>
      </w:r>
    </w:p>
    <w:p w14:paraId="7283E19B" w14:textId="77777777" w:rsidR="00B112E0" w:rsidRPr="00BF780C" w:rsidRDefault="00B112E0" w:rsidP="00B112E0">
      <w:pPr>
        <w:spacing w:after="0" w:line="240" w:lineRule="auto"/>
        <w:jc w:val="both"/>
        <w:rPr>
          <w:sz w:val="20"/>
          <w:szCs w:val="20"/>
        </w:rPr>
      </w:pPr>
    </w:p>
    <w:p w14:paraId="39652F57" w14:textId="055DFBAD" w:rsidR="008A23A8" w:rsidRPr="00BF780C" w:rsidRDefault="003861ED" w:rsidP="00B112E0">
      <w:pPr>
        <w:spacing w:after="0" w:line="240" w:lineRule="auto"/>
        <w:rPr>
          <w:b/>
          <w:bCs/>
          <w:sz w:val="20"/>
          <w:szCs w:val="20"/>
        </w:rPr>
      </w:pPr>
      <w:r w:rsidRPr="00BF780C">
        <w:rPr>
          <w:b/>
          <w:bCs/>
          <w:sz w:val="20"/>
          <w:szCs w:val="20"/>
        </w:rPr>
        <w:t>Key</w:t>
      </w:r>
      <w:r w:rsidR="008A23A8" w:rsidRPr="00BF780C">
        <w:rPr>
          <w:b/>
          <w:bCs/>
          <w:sz w:val="20"/>
          <w:szCs w:val="20"/>
        </w:rPr>
        <w:t xml:space="preserve"> Information</w:t>
      </w:r>
      <w:r w:rsidR="006502A9" w:rsidRPr="00BF780C">
        <w:rPr>
          <w:b/>
          <w:bCs/>
          <w:sz w:val="20"/>
          <w:szCs w:val="20"/>
        </w:rPr>
        <w:t xml:space="preserve"> for </w:t>
      </w:r>
      <w:r w:rsidR="00B50502" w:rsidRPr="00BF780C">
        <w:rPr>
          <w:b/>
          <w:bCs/>
          <w:sz w:val="20"/>
          <w:szCs w:val="20"/>
        </w:rPr>
        <w:t xml:space="preserve">the </w:t>
      </w:r>
      <w:r w:rsidR="006502A9" w:rsidRPr="00BF780C">
        <w:rPr>
          <w:b/>
          <w:bCs/>
          <w:sz w:val="20"/>
          <w:szCs w:val="20"/>
        </w:rPr>
        <w:t>Digital Health and Data call</w:t>
      </w:r>
    </w:p>
    <w:tbl>
      <w:tblPr>
        <w:tblStyle w:val="TableGrid"/>
        <w:tblW w:w="0" w:type="auto"/>
        <w:tblLook w:val="04A0" w:firstRow="1" w:lastRow="0" w:firstColumn="1" w:lastColumn="0" w:noHBand="0" w:noVBand="1"/>
      </w:tblPr>
      <w:tblGrid>
        <w:gridCol w:w="1099"/>
        <w:gridCol w:w="1329"/>
        <w:gridCol w:w="3323"/>
        <w:gridCol w:w="1837"/>
        <w:gridCol w:w="1428"/>
      </w:tblGrid>
      <w:tr w:rsidR="007D0784" w:rsidRPr="00BF780C" w14:paraId="2E8FBDAA" w14:textId="5B671E58" w:rsidTr="00A36658">
        <w:tc>
          <w:tcPr>
            <w:tcW w:w="0" w:type="auto"/>
            <w:shd w:val="clear" w:color="auto" w:fill="D9E2F3" w:themeFill="accent1" w:themeFillTint="33"/>
          </w:tcPr>
          <w:p w14:paraId="55AF4014" w14:textId="72075035" w:rsidR="007D0784" w:rsidRPr="00BF780C" w:rsidRDefault="007D0784">
            <w:pPr>
              <w:rPr>
                <w:b/>
                <w:bCs/>
                <w:sz w:val="20"/>
                <w:szCs w:val="20"/>
              </w:rPr>
            </w:pPr>
            <w:r w:rsidRPr="00BF780C">
              <w:rPr>
                <w:b/>
                <w:bCs/>
                <w:sz w:val="20"/>
                <w:szCs w:val="20"/>
              </w:rPr>
              <w:t>Funding Type</w:t>
            </w:r>
          </w:p>
        </w:tc>
        <w:tc>
          <w:tcPr>
            <w:tcW w:w="0" w:type="auto"/>
            <w:shd w:val="clear" w:color="auto" w:fill="D9E2F3" w:themeFill="accent1" w:themeFillTint="33"/>
          </w:tcPr>
          <w:p w14:paraId="3F3A11E9" w14:textId="6E5AD440" w:rsidR="007D0784" w:rsidRPr="00BF780C" w:rsidRDefault="007D0784">
            <w:pPr>
              <w:rPr>
                <w:b/>
                <w:bCs/>
                <w:sz w:val="20"/>
                <w:szCs w:val="20"/>
              </w:rPr>
            </w:pPr>
            <w:r w:rsidRPr="00BF780C">
              <w:rPr>
                <w:b/>
                <w:bCs/>
                <w:sz w:val="20"/>
                <w:szCs w:val="20"/>
              </w:rPr>
              <w:t>Funding Available</w:t>
            </w:r>
          </w:p>
        </w:tc>
        <w:tc>
          <w:tcPr>
            <w:tcW w:w="0" w:type="auto"/>
            <w:shd w:val="clear" w:color="auto" w:fill="D9E2F3" w:themeFill="accent1" w:themeFillTint="33"/>
          </w:tcPr>
          <w:p w14:paraId="31CDFEE6" w14:textId="4A0952CD" w:rsidR="007D0784" w:rsidRPr="00BF780C" w:rsidRDefault="007D0784">
            <w:pPr>
              <w:rPr>
                <w:b/>
                <w:bCs/>
                <w:sz w:val="20"/>
                <w:szCs w:val="20"/>
              </w:rPr>
            </w:pPr>
            <w:r w:rsidRPr="00BF780C">
              <w:rPr>
                <w:b/>
                <w:bCs/>
                <w:sz w:val="20"/>
                <w:szCs w:val="20"/>
              </w:rPr>
              <w:t>Eligibility</w:t>
            </w:r>
          </w:p>
        </w:tc>
        <w:tc>
          <w:tcPr>
            <w:tcW w:w="0" w:type="auto"/>
            <w:shd w:val="clear" w:color="auto" w:fill="D9E2F3" w:themeFill="accent1" w:themeFillTint="33"/>
          </w:tcPr>
          <w:p w14:paraId="46B87C92" w14:textId="1CC66A46" w:rsidR="007D0784" w:rsidRPr="00BF780C" w:rsidRDefault="007D0784">
            <w:pPr>
              <w:rPr>
                <w:b/>
                <w:bCs/>
                <w:sz w:val="20"/>
                <w:szCs w:val="20"/>
              </w:rPr>
            </w:pPr>
            <w:r w:rsidRPr="00BF780C">
              <w:rPr>
                <w:b/>
                <w:bCs/>
                <w:sz w:val="20"/>
                <w:szCs w:val="20"/>
              </w:rPr>
              <w:t>Application deadline</w:t>
            </w:r>
          </w:p>
        </w:tc>
        <w:tc>
          <w:tcPr>
            <w:tcW w:w="0" w:type="auto"/>
            <w:shd w:val="clear" w:color="auto" w:fill="D9E2F3" w:themeFill="accent1" w:themeFillTint="33"/>
          </w:tcPr>
          <w:p w14:paraId="348DE0AA" w14:textId="6589C37A" w:rsidR="007D0784" w:rsidRPr="00BF780C" w:rsidRDefault="007D0784">
            <w:pPr>
              <w:rPr>
                <w:b/>
                <w:bCs/>
                <w:sz w:val="20"/>
                <w:szCs w:val="20"/>
              </w:rPr>
            </w:pPr>
            <w:r w:rsidRPr="00BF780C">
              <w:rPr>
                <w:b/>
                <w:bCs/>
                <w:sz w:val="20"/>
                <w:szCs w:val="20"/>
              </w:rPr>
              <w:t>Applicants notified</w:t>
            </w:r>
          </w:p>
        </w:tc>
      </w:tr>
      <w:tr w:rsidR="007D0784" w:rsidRPr="00BF780C" w14:paraId="135029D1" w14:textId="29687E47" w:rsidTr="00C71198">
        <w:tc>
          <w:tcPr>
            <w:tcW w:w="0" w:type="auto"/>
          </w:tcPr>
          <w:p w14:paraId="5B6BE751" w14:textId="5D84E26B" w:rsidR="007D0784" w:rsidRPr="00BF780C" w:rsidRDefault="007D0784">
            <w:pPr>
              <w:rPr>
                <w:sz w:val="20"/>
                <w:szCs w:val="20"/>
              </w:rPr>
            </w:pPr>
            <w:r w:rsidRPr="00BF780C">
              <w:rPr>
                <w:sz w:val="20"/>
                <w:szCs w:val="20"/>
              </w:rPr>
              <w:t>Grant</w:t>
            </w:r>
          </w:p>
        </w:tc>
        <w:tc>
          <w:tcPr>
            <w:tcW w:w="0" w:type="auto"/>
          </w:tcPr>
          <w:p w14:paraId="5595EFFB" w14:textId="69F85BDA" w:rsidR="007D0784" w:rsidRPr="00BF780C" w:rsidRDefault="007D0784">
            <w:pPr>
              <w:rPr>
                <w:sz w:val="20"/>
                <w:szCs w:val="20"/>
              </w:rPr>
            </w:pPr>
            <w:r w:rsidRPr="00BF780C">
              <w:rPr>
                <w:sz w:val="20"/>
                <w:szCs w:val="20"/>
              </w:rPr>
              <w:t>Up to £75,000</w:t>
            </w:r>
          </w:p>
        </w:tc>
        <w:tc>
          <w:tcPr>
            <w:tcW w:w="0" w:type="auto"/>
          </w:tcPr>
          <w:p w14:paraId="74245D0D" w14:textId="6A4EEAA8" w:rsidR="007D0784" w:rsidRPr="00BF780C" w:rsidRDefault="00C71198">
            <w:pPr>
              <w:rPr>
                <w:b/>
                <w:bCs/>
                <w:sz w:val="20"/>
                <w:szCs w:val="20"/>
              </w:rPr>
            </w:pPr>
            <w:r w:rsidRPr="00BF780C">
              <w:rPr>
                <w:sz w:val="20"/>
                <w:szCs w:val="20"/>
              </w:rPr>
              <w:t>the call is open to universities, research institutes and NHS Boards</w:t>
            </w:r>
          </w:p>
        </w:tc>
        <w:tc>
          <w:tcPr>
            <w:tcW w:w="0" w:type="auto"/>
          </w:tcPr>
          <w:p w14:paraId="3212B901" w14:textId="683DBD0A" w:rsidR="007D0784" w:rsidRPr="00BF780C" w:rsidRDefault="00C71198">
            <w:pPr>
              <w:rPr>
                <w:b/>
                <w:bCs/>
                <w:sz w:val="20"/>
                <w:szCs w:val="20"/>
              </w:rPr>
            </w:pPr>
            <w:r w:rsidRPr="00BF780C">
              <w:rPr>
                <w:sz w:val="20"/>
                <w:szCs w:val="20"/>
              </w:rPr>
              <w:t xml:space="preserve">12 noon on 31 October 2022 </w:t>
            </w:r>
            <w:r w:rsidRPr="00BF780C">
              <w:rPr>
                <w:b/>
                <w:bCs/>
                <w:i/>
                <w:iCs/>
                <w:sz w:val="20"/>
                <w:szCs w:val="20"/>
              </w:rPr>
              <w:t xml:space="preserve"> </w:t>
            </w:r>
          </w:p>
        </w:tc>
        <w:tc>
          <w:tcPr>
            <w:tcW w:w="0" w:type="auto"/>
          </w:tcPr>
          <w:p w14:paraId="1DF53972" w14:textId="61F26579" w:rsidR="007D0784" w:rsidRPr="00BF780C" w:rsidRDefault="00C71198">
            <w:pPr>
              <w:rPr>
                <w:b/>
                <w:bCs/>
                <w:sz w:val="20"/>
                <w:szCs w:val="20"/>
              </w:rPr>
            </w:pPr>
            <w:r w:rsidRPr="00BF780C">
              <w:rPr>
                <w:sz w:val="20"/>
                <w:szCs w:val="20"/>
              </w:rPr>
              <w:t>21 November 2022</w:t>
            </w:r>
          </w:p>
        </w:tc>
      </w:tr>
    </w:tbl>
    <w:p w14:paraId="4BE22437" w14:textId="1D2949B5" w:rsidR="00C26DD4" w:rsidRPr="00BF780C" w:rsidRDefault="00C26DD4">
      <w:pPr>
        <w:rPr>
          <w:b/>
          <w:bCs/>
          <w:sz w:val="20"/>
          <w:szCs w:val="20"/>
        </w:rPr>
      </w:pPr>
    </w:p>
    <w:p w14:paraId="2DDD5554" w14:textId="77777777" w:rsidR="00A67C71" w:rsidRPr="00BF780C" w:rsidRDefault="00A36658">
      <w:pPr>
        <w:rPr>
          <w:sz w:val="20"/>
          <w:szCs w:val="20"/>
        </w:rPr>
      </w:pPr>
      <w:r w:rsidRPr="00BF780C">
        <w:rPr>
          <w:b/>
          <w:bCs/>
          <w:sz w:val="20"/>
          <w:szCs w:val="20"/>
        </w:rPr>
        <w:t>Scope</w:t>
      </w:r>
    </w:p>
    <w:p w14:paraId="557A6536" w14:textId="6C251DB9" w:rsidR="00063CFA" w:rsidRPr="00417074" w:rsidRDefault="00063CFA">
      <w:pPr>
        <w:rPr>
          <w:sz w:val="20"/>
          <w:szCs w:val="20"/>
        </w:rPr>
      </w:pPr>
      <w:r w:rsidRPr="00417074">
        <w:rPr>
          <w:sz w:val="20"/>
          <w:szCs w:val="20"/>
        </w:rPr>
        <w:t xml:space="preserve">This Call complements </w:t>
      </w:r>
      <w:r w:rsidR="00DA0951">
        <w:rPr>
          <w:sz w:val="20"/>
          <w:szCs w:val="20"/>
        </w:rPr>
        <w:t xml:space="preserve">the ambition of </w:t>
      </w:r>
      <w:r w:rsidRPr="00417074">
        <w:rPr>
          <w:sz w:val="20"/>
          <w:szCs w:val="20"/>
        </w:rPr>
        <w:t>Scottish Enterprise’s Heath for Wealth Programme.</w:t>
      </w:r>
    </w:p>
    <w:p w14:paraId="3FBD60D2" w14:textId="3B5AEF43" w:rsidR="00063CFA" w:rsidRPr="00417074" w:rsidRDefault="00063CFA">
      <w:pPr>
        <w:rPr>
          <w:sz w:val="20"/>
          <w:szCs w:val="20"/>
        </w:rPr>
      </w:pPr>
      <w:r w:rsidRPr="00417074">
        <w:rPr>
          <w:sz w:val="20"/>
          <w:szCs w:val="20"/>
        </w:rPr>
        <w:t xml:space="preserve">The vision for the Health for Wealth programme is: “To make Scotland a world leader in the health &amp; care economy while enabling our citizens to live longer, healthier, lives.” </w:t>
      </w:r>
    </w:p>
    <w:p w14:paraId="088C1D50" w14:textId="77777777" w:rsidR="00063CFA" w:rsidRPr="00417074" w:rsidRDefault="00063CFA">
      <w:pPr>
        <w:rPr>
          <w:sz w:val="20"/>
          <w:szCs w:val="20"/>
        </w:rPr>
      </w:pPr>
      <w:r w:rsidRPr="00417074">
        <w:rPr>
          <w:sz w:val="20"/>
          <w:szCs w:val="20"/>
        </w:rPr>
        <w:t xml:space="preserve">Scottish Enterprise works with partners (Industry, NHS, Government and Academia) to realise this vision through a focus on two synergistic strategic aims: </w:t>
      </w:r>
    </w:p>
    <w:p w14:paraId="679115B5" w14:textId="77777777" w:rsidR="00063CFA" w:rsidRPr="00417074" w:rsidRDefault="00063CFA">
      <w:pPr>
        <w:rPr>
          <w:sz w:val="20"/>
          <w:szCs w:val="20"/>
        </w:rPr>
      </w:pPr>
      <w:r w:rsidRPr="00417074">
        <w:rPr>
          <w:sz w:val="20"/>
          <w:szCs w:val="20"/>
        </w:rPr>
        <w:t xml:space="preserve">• Building a world leading health and care innovation ecosystem that optimally links the triple helix of NHS, academia and industry and is optimised by a “once for Scotland” approach within the </w:t>
      </w:r>
      <w:proofErr w:type="gramStart"/>
      <w:r w:rsidRPr="00417074">
        <w:rPr>
          <w:sz w:val="20"/>
          <w:szCs w:val="20"/>
        </w:rPr>
        <w:t>NHS;</w:t>
      </w:r>
      <w:proofErr w:type="gramEnd"/>
      <w:r w:rsidRPr="00417074">
        <w:rPr>
          <w:sz w:val="20"/>
          <w:szCs w:val="20"/>
        </w:rPr>
        <w:t xml:space="preserve"> </w:t>
      </w:r>
    </w:p>
    <w:p w14:paraId="0DECB818" w14:textId="4ED36313" w:rsidR="00063CFA" w:rsidRPr="00417074" w:rsidRDefault="00063CFA">
      <w:pPr>
        <w:rPr>
          <w:sz w:val="20"/>
          <w:szCs w:val="20"/>
        </w:rPr>
      </w:pPr>
      <w:r w:rsidRPr="00417074">
        <w:rPr>
          <w:sz w:val="20"/>
          <w:szCs w:val="20"/>
        </w:rPr>
        <w:t>• Fully exploiting the potential of digital technologies and data to transform health and care</w:t>
      </w:r>
    </w:p>
    <w:p w14:paraId="1E8CB9DA" w14:textId="143BF952" w:rsidR="00063CFA" w:rsidRPr="00417074" w:rsidRDefault="00860F95">
      <w:pPr>
        <w:rPr>
          <w:rFonts w:eastAsia="Times New Roman"/>
          <w:b/>
          <w:bCs/>
          <w:sz w:val="20"/>
          <w:szCs w:val="20"/>
        </w:rPr>
      </w:pPr>
      <w:r w:rsidRPr="00DA0951">
        <w:rPr>
          <w:b/>
          <w:bCs/>
          <w:sz w:val="20"/>
          <w:szCs w:val="20"/>
        </w:rPr>
        <w:t>Applicants must demonstrate how their project</w:t>
      </w:r>
      <w:r w:rsidR="00063CFA" w:rsidRPr="00417074">
        <w:rPr>
          <w:b/>
          <w:bCs/>
          <w:sz w:val="20"/>
          <w:szCs w:val="20"/>
        </w:rPr>
        <w:t xml:space="preserve"> </w:t>
      </w:r>
      <w:r w:rsidRPr="00DA0951">
        <w:rPr>
          <w:b/>
          <w:bCs/>
          <w:sz w:val="20"/>
          <w:szCs w:val="20"/>
        </w:rPr>
        <w:t xml:space="preserve">aligns with the programme by </w:t>
      </w:r>
      <w:r w:rsidRPr="00DA0951">
        <w:rPr>
          <w:b/>
          <w:bCs/>
          <w:i/>
          <w:iCs/>
          <w:sz w:val="20"/>
          <w:szCs w:val="20"/>
        </w:rPr>
        <w:t>exploiting the</w:t>
      </w:r>
      <w:r w:rsidR="00063CFA" w:rsidRPr="00DA0951">
        <w:rPr>
          <w:b/>
          <w:bCs/>
          <w:i/>
          <w:iCs/>
          <w:sz w:val="20"/>
          <w:szCs w:val="20"/>
        </w:rPr>
        <w:t xml:space="preserve"> potential of digital technologies and data to transform health and care</w:t>
      </w:r>
      <w:r w:rsidR="00063CFA" w:rsidRPr="00417074">
        <w:rPr>
          <w:rFonts w:eastAsia="Times New Roman"/>
          <w:b/>
          <w:bCs/>
          <w:sz w:val="20"/>
          <w:szCs w:val="20"/>
        </w:rPr>
        <w:t>.</w:t>
      </w:r>
    </w:p>
    <w:p w14:paraId="00199128" w14:textId="4D217EA5" w:rsidR="00741F50" w:rsidRPr="00DA0951" w:rsidRDefault="00635C05" w:rsidP="00741F50">
      <w:pPr>
        <w:rPr>
          <w:b/>
          <w:bCs/>
          <w:sz w:val="20"/>
          <w:szCs w:val="20"/>
        </w:rPr>
      </w:pPr>
      <w:r w:rsidRPr="00DA0951">
        <w:rPr>
          <w:b/>
          <w:bCs/>
          <w:sz w:val="20"/>
          <w:szCs w:val="20"/>
        </w:rPr>
        <w:t>Purpose</w:t>
      </w:r>
    </w:p>
    <w:p w14:paraId="35CA2751" w14:textId="3DBB3571" w:rsidR="00635C05" w:rsidRPr="00DA0951" w:rsidRDefault="00635C05" w:rsidP="008A23A8">
      <w:pPr>
        <w:jc w:val="both"/>
        <w:rPr>
          <w:sz w:val="20"/>
          <w:szCs w:val="20"/>
          <w:lang w:val="en-US"/>
        </w:rPr>
      </w:pPr>
      <w:r w:rsidRPr="00DA0951">
        <w:rPr>
          <w:sz w:val="20"/>
          <w:szCs w:val="20"/>
        </w:rPr>
        <w:t xml:space="preserve">The </w:t>
      </w:r>
      <w:r w:rsidRPr="00DA0951">
        <w:rPr>
          <w:rFonts w:eastAsia="Times New Roman"/>
          <w:sz w:val="20"/>
          <w:szCs w:val="20"/>
        </w:rPr>
        <w:t>Call aims to both support the commercialisation of technologies in universities, research institutes and NHS boards and</w:t>
      </w:r>
      <w:r w:rsidRPr="00DA0951">
        <w:rPr>
          <w:sz w:val="20"/>
          <w:szCs w:val="20"/>
          <w:lang w:val="en-US"/>
        </w:rPr>
        <w:t xml:space="preserve"> improve the sustainability and effectiveness of health and care globally. </w:t>
      </w:r>
    </w:p>
    <w:p w14:paraId="1B5AEFA8" w14:textId="679C1FCB" w:rsidR="003C7576" w:rsidRPr="00DA0951" w:rsidRDefault="003C7576" w:rsidP="003C7576">
      <w:pPr>
        <w:jc w:val="both"/>
        <w:rPr>
          <w:sz w:val="20"/>
          <w:szCs w:val="20"/>
        </w:rPr>
      </w:pPr>
      <w:r w:rsidRPr="00DA0951">
        <w:rPr>
          <w:sz w:val="20"/>
          <w:szCs w:val="20"/>
        </w:rPr>
        <w:t xml:space="preserve">To bring a joined-up approach from </w:t>
      </w:r>
      <w:r w:rsidR="00860F95" w:rsidRPr="00DA0951">
        <w:rPr>
          <w:sz w:val="20"/>
          <w:szCs w:val="20"/>
        </w:rPr>
        <w:t xml:space="preserve">Scottish Enterprise </w:t>
      </w:r>
      <w:r w:rsidRPr="00DA0951">
        <w:rPr>
          <w:sz w:val="20"/>
          <w:szCs w:val="20"/>
        </w:rPr>
        <w:t xml:space="preserve">and ecosystem partners to </w:t>
      </w:r>
      <w:r w:rsidR="0039467F" w:rsidRPr="00DA0951">
        <w:rPr>
          <w:sz w:val="20"/>
          <w:szCs w:val="20"/>
        </w:rPr>
        <w:t>give projects the best chance of success</w:t>
      </w:r>
      <w:r w:rsidR="00E91EA5" w:rsidRPr="00DA0951">
        <w:rPr>
          <w:sz w:val="20"/>
          <w:szCs w:val="20"/>
        </w:rPr>
        <w:t>.</w:t>
      </w:r>
    </w:p>
    <w:p w14:paraId="5B107EB1" w14:textId="5617D34E" w:rsidR="0053384B" w:rsidRPr="00DA0951" w:rsidRDefault="0053384B" w:rsidP="003C7576">
      <w:pPr>
        <w:jc w:val="both"/>
        <w:rPr>
          <w:sz w:val="20"/>
          <w:szCs w:val="20"/>
        </w:rPr>
      </w:pPr>
      <w:r w:rsidRPr="00DA0951">
        <w:rPr>
          <w:sz w:val="20"/>
          <w:szCs w:val="20"/>
        </w:rPr>
        <w:t xml:space="preserve">To </w:t>
      </w:r>
      <w:r w:rsidR="003243AA" w:rsidRPr="00DA0951">
        <w:rPr>
          <w:sz w:val="20"/>
          <w:szCs w:val="20"/>
        </w:rPr>
        <w:t xml:space="preserve">enhance </w:t>
      </w:r>
      <w:r w:rsidR="004B54E8" w:rsidRPr="00DA0951">
        <w:rPr>
          <w:sz w:val="20"/>
          <w:szCs w:val="20"/>
        </w:rPr>
        <w:t>the level of e</w:t>
      </w:r>
      <w:r w:rsidR="00EA5F44" w:rsidRPr="00DA0951">
        <w:rPr>
          <w:sz w:val="20"/>
          <w:szCs w:val="20"/>
        </w:rPr>
        <w:t>ntrepreneur</w:t>
      </w:r>
      <w:r w:rsidR="00D845E6" w:rsidRPr="00DA0951">
        <w:rPr>
          <w:sz w:val="20"/>
          <w:szCs w:val="20"/>
        </w:rPr>
        <w:t xml:space="preserve">ial and commercial </w:t>
      </w:r>
      <w:r w:rsidR="004B54E8" w:rsidRPr="00DA0951">
        <w:rPr>
          <w:sz w:val="20"/>
          <w:szCs w:val="20"/>
        </w:rPr>
        <w:t xml:space="preserve">knowledge and expertise applied </w:t>
      </w:r>
      <w:r w:rsidR="00C941F6" w:rsidRPr="00DA0951">
        <w:rPr>
          <w:sz w:val="20"/>
          <w:szCs w:val="20"/>
        </w:rPr>
        <w:t>to developing solutions</w:t>
      </w:r>
      <w:r w:rsidR="009015BF" w:rsidRPr="00DA0951">
        <w:rPr>
          <w:sz w:val="20"/>
          <w:szCs w:val="20"/>
        </w:rPr>
        <w:t xml:space="preserve"> to health and care chall</w:t>
      </w:r>
      <w:r w:rsidR="00221CD9" w:rsidRPr="00DA0951">
        <w:rPr>
          <w:sz w:val="20"/>
          <w:szCs w:val="20"/>
        </w:rPr>
        <w:t>en</w:t>
      </w:r>
      <w:r w:rsidR="009015BF" w:rsidRPr="00DA0951">
        <w:rPr>
          <w:sz w:val="20"/>
          <w:szCs w:val="20"/>
        </w:rPr>
        <w:t>ges</w:t>
      </w:r>
      <w:r w:rsidR="00547379" w:rsidRPr="00DA0951">
        <w:rPr>
          <w:sz w:val="20"/>
          <w:szCs w:val="20"/>
        </w:rPr>
        <w:t xml:space="preserve">. </w:t>
      </w:r>
    </w:p>
    <w:p w14:paraId="155B7395" w14:textId="20D548A6" w:rsidR="00857307" w:rsidRPr="00BF780C" w:rsidRDefault="00857307" w:rsidP="00857307">
      <w:pPr>
        <w:rPr>
          <w:b/>
          <w:bCs/>
          <w:sz w:val="20"/>
          <w:szCs w:val="20"/>
        </w:rPr>
      </w:pPr>
      <w:r w:rsidRPr="00BF780C">
        <w:rPr>
          <w:b/>
          <w:bCs/>
          <w:sz w:val="20"/>
          <w:szCs w:val="20"/>
        </w:rPr>
        <w:t>Use of Funds</w:t>
      </w:r>
    </w:p>
    <w:p w14:paraId="43059505" w14:textId="757C62BD" w:rsidR="0032397A" w:rsidRPr="00BF780C" w:rsidRDefault="00857307" w:rsidP="00857307">
      <w:pPr>
        <w:jc w:val="both"/>
        <w:rPr>
          <w:sz w:val="20"/>
          <w:szCs w:val="20"/>
        </w:rPr>
      </w:pPr>
      <w:r w:rsidRPr="00BF780C">
        <w:rPr>
          <w:sz w:val="20"/>
          <w:szCs w:val="20"/>
        </w:rPr>
        <w:t xml:space="preserve">Funding is provided to address gaps in the business case </w:t>
      </w:r>
      <w:r w:rsidR="0032397A" w:rsidRPr="00BF780C">
        <w:rPr>
          <w:sz w:val="20"/>
          <w:szCs w:val="20"/>
        </w:rPr>
        <w:t>for the prospective technology, product or service. It s</w:t>
      </w:r>
      <w:r w:rsidRPr="00BF780C">
        <w:rPr>
          <w:sz w:val="20"/>
          <w:szCs w:val="20"/>
        </w:rPr>
        <w:t xml:space="preserve">upports activities such as </w:t>
      </w:r>
      <w:r w:rsidR="0032397A" w:rsidRPr="00BF780C">
        <w:rPr>
          <w:sz w:val="20"/>
          <w:szCs w:val="20"/>
        </w:rPr>
        <w:t>the appointment of a</w:t>
      </w:r>
      <w:r w:rsidR="00DE4165" w:rsidRPr="00BF780C">
        <w:rPr>
          <w:sz w:val="20"/>
          <w:szCs w:val="20"/>
        </w:rPr>
        <w:t xml:space="preserve">n experienced </w:t>
      </w:r>
      <w:r w:rsidR="0032397A" w:rsidRPr="00BF780C">
        <w:rPr>
          <w:sz w:val="20"/>
          <w:szCs w:val="20"/>
        </w:rPr>
        <w:t>commercial champion</w:t>
      </w:r>
      <w:r w:rsidR="00DE4165" w:rsidRPr="00BF780C">
        <w:rPr>
          <w:sz w:val="20"/>
          <w:szCs w:val="20"/>
        </w:rPr>
        <w:t xml:space="preserve"> t</w:t>
      </w:r>
      <w:r w:rsidR="0032397A" w:rsidRPr="00BF780C">
        <w:rPr>
          <w:sz w:val="20"/>
          <w:szCs w:val="20"/>
        </w:rPr>
        <w:t xml:space="preserve">o </w:t>
      </w:r>
      <w:r w:rsidR="0032397A" w:rsidRPr="00BF780C">
        <w:rPr>
          <w:rStyle w:val="normaltextrun"/>
          <w:rFonts w:ascii="Calibri" w:hAnsi="Calibri" w:cs="Calibri"/>
          <w:color w:val="000000"/>
          <w:sz w:val="20"/>
          <w:szCs w:val="20"/>
          <w:shd w:val="clear" w:color="auto" w:fill="FFFFFF"/>
        </w:rPr>
        <w:t xml:space="preserve">lead and manage commercial engagement, build up the business proposition, direct the research to meet the commercial ends and achieve the commercialisation milestones; </w:t>
      </w:r>
      <w:r w:rsidR="00DE4165" w:rsidRPr="00BF780C">
        <w:rPr>
          <w:rStyle w:val="normaltextrun"/>
          <w:rFonts w:ascii="Calibri" w:hAnsi="Calibri" w:cs="Calibri"/>
          <w:color w:val="000000"/>
          <w:sz w:val="20"/>
          <w:szCs w:val="20"/>
          <w:shd w:val="clear" w:color="auto" w:fill="FFFFFF"/>
        </w:rPr>
        <w:t xml:space="preserve">technology de-risking through prototyping; investor engagement </w:t>
      </w:r>
      <w:r w:rsidR="00DE4165" w:rsidRPr="00BF780C">
        <w:rPr>
          <w:sz w:val="20"/>
          <w:szCs w:val="20"/>
        </w:rPr>
        <w:t>to understand the investment roadmap; market research; regulatory assessment and IP strategy development.</w:t>
      </w:r>
    </w:p>
    <w:p w14:paraId="55C7DDDE" w14:textId="77777777" w:rsidR="00417074" w:rsidRDefault="00417074">
      <w:pPr>
        <w:rPr>
          <w:b/>
          <w:bCs/>
          <w:sz w:val="20"/>
          <w:szCs w:val="20"/>
        </w:rPr>
      </w:pPr>
      <w:r>
        <w:rPr>
          <w:b/>
          <w:bCs/>
          <w:sz w:val="20"/>
          <w:szCs w:val="20"/>
        </w:rPr>
        <w:br w:type="page"/>
      </w:r>
    </w:p>
    <w:p w14:paraId="16B95D51" w14:textId="12B8C770" w:rsidR="00A1492B" w:rsidRPr="00BF780C" w:rsidRDefault="00A1492B" w:rsidP="00155A38">
      <w:pPr>
        <w:jc w:val="both"/>
        <w:rPr>
          <w:b/>
          <w:bCs/>
          <w:sz w:val="20"/>
          <w:szCs w:val="20"/>
        </w:rPr>
      </w:pPr>
      <w:r w:rsidRPr="00BF780C">
        <w:rPr>
          <w:b/>
          <w:bCs/>
          <w:sz w:val="20"/>
          <w:szCs w:val="20"/>
        </w:rPr>
        <w:lastRenderedPageBreak/>
        <w:t>How to Apply</w:t>
      </w:r>
    </w:p>
    <w:p w14:paraId="4B295136" w14:textId="63445896" w:rsidR="004317B2" w:rsidRPr="00BF780C" w:rsidRDefault="001B32B1" w:rsidP="00155A38">
      <w:pPr>
        <w:jc w:val="both"/>
        <w:rPr>
          <w:sz w:val="20"/>
          <w:szCs w:val="20"/>
        </w:rPr>
      </w:pPr>
      <w:r w:rsidRPr="00BF780C">
        <w:rPr>
          <w:sz w:val="20"/>
          <w:szCs w:val="20"/>
        </w:rPr>
        <w:t>For an a</w:t>
      </w:r>
      <w:r w:rsidR="0079681D" w:rsidRPr="00BF780C">
        <w:rPr>
          <w:sz w:val="20"/>
          <w:szCs w:val="20"/>
        </w:rPr>
        <w:t>pplication form</w:t>
      </w:r>
      <w:r w:rsidR="009E414C" w:rsidRPr="00BF780C">
        <w:rPr>
          <w:sz w:val="20"/>
          <w:szCs w:val="20"/>
        </w:rPr>
        <w:t xml:space="preserve"> and </w:t>
      </w:r>
      <w:r w:rsidRPr="00BF780C">
        <w:rPr>
          <w:sz w:val="20"/>
          <w:szCs w:val="20"/>
        </w:rPr>
        <w:t>guidelines</w:t>
      </w:r>
      <w:r w:rsidR="00A84C12" w:rsidRPr="00BF780C">
        <w:rPr>
          <w:sz w:val="20"/>
          <w:szCs w:val="20"/>
        </w:rPr>
        <w:t xml:space="preserve"> please contact </w:t>
      </w:r>
      <w:hyperlink r:id="rId7" w:history="1">
        <w:r w:rsidR="00970BCF" w:rsidRPr="00BF780C">
          <w:rPr>
            <w:rStyle w:val="Hyperlink"/>
            <w:sz w:val="20"/>
            <w:szCs w:val="20"/>
          </w:rPr>
          <w:t>HighGrowthSpinouts@scotent.co.uk</w:t>
        </w:r>
      </w:hyperlink>
    </w:p>
    <w:p w14:paraId="07202648" w14:textId="34FDCDB2" w:rsidR="00AE7AE3" w:rsidRPr="00BF780C" w:rsidRDefault="00AE7AE3" w:rsidP="00155A38">
      <w:pPr>
        <w:jc w:val="both"/>
        <w:rPr>
          <w:b/>
          <w:bCs/>
          <w:sz w:val="20"/>
          <w:szCs w:val="20"/>
        </w:rPr>
      </w:pPr>
      <w:r w:rsidRPr="00BF780C">
        <w:rPr>
          <w:b/>
          <w:bCs/>
          <w:sz w:val="20"/>
          <w:szCs w:val="20"/>
        </w:rPr>
        <w:t>Additional Information</w:t>
      </w:r>
    </w:p>
    <w:p w14:paraId="71B1EC34" w14:textId="77777777" w:rsidR="0051463B" w:rsidRPr="005E56CA" w:rsidRDefault="0051463B" w:rsidP="0051463B">
      <w:pPr>
        <w:jc w:val="both"/>
        <w:rPr>
          <w:sz w:val="20"/>
          <w:szCs w:val="20"/>
        </w:rPr>
      </w:pPr>
      <w:r w:rsidRPr="005E56CA">
        <w:rPr>
          <w:sz w:val="20"/>
          <w:szCs w:val="20"/>
        </w:rPr>
        <w:t xml:space="preserve">Before the Covid-19 crisis, values estimated the global digital health market size at $103.1 Billion and projected a CAGR of 24.6% leading to $385.8 Billion by 2025. However, the first half of 2020 saw unprecedented digital health activity and record levels of venture funding. Some more recent estimates suggest growth could be even higher than this with figures published by Statista on 26 June 2021 referencing a staggering $660 Billion by 2025. </w:t>
      </w:r>
    </w:p>
    <w:p w14:paraId="58945BDF" w14:textId="21C41C83" w:rsidR="00970BCF" w:rsidRPr="00BF780C" w:rsidRDefault="000F6B34" w:rsidP="00155A38">
      <w:pPr>
        <w:jc w:val="both"/>
        <w:rPr>
          <w:sz w:val="20"/>
          <w:szCs w:val="20"/>
        </w:rPr>
      </w:pPr>
      <w:r w:rsidRPr="00BF780C">
        <w:rPr>
          <w:sz w:val="20"/>
          <w:szCs w:val="20"/>
        </w:rPr>
        <w:t xml:space="preserve">You are encouraged to speak to a </w:t>
      </w:r>
      <w:r w:rsidR="00AE7AE3" w:rsidRPr="00BF780C">
        <w:rPr>
          <w:sz w:val="20"/>
          <w:szCs w:val="20"/>
        </w:rPr>
        <w:t xml:space="preserve">member of the HGSP team </w:t>
      </w:r>
      <w:r w:rsidR="00B85E83" w:rsidRPr="00BF780C">
        <w:rPr>
          <w:sz w:val="20"/>
          <w:szCs w:val="20"/>
        </w:rPr>
        <w:t xml:space="preserve">prior to drafting and submitting your </w:t>
      </w:r>
      <w:r w:rsidR="00AF6EF8" w:rsidRPr="00BF780C">
        <w:rPr>
          <w:sz w:val="20"/>
          <w:szCs w:val="20"/>
        </w:rPr>
        <w:t>application</w:t>
      </w:r>
      <w:r w:rsidR="00B85E83" w:rsidRPr="00BF780C">
        <w:rPr>
          <w:sz w:val="20"/>
          <w:szCs w:val="20"/>
        </w:rPr>
        <w:t xml:space="preserve">. </w:t>
      </w:r>
      <w:r w:rsidR="00AF6EF8" w:rsidRPr="00BF780C">
        <w:rPr>
          <w:sz w:val="20"/>
          <w:szCs w:val="20"/>
        </w:rPr>
        <w:t> </w:t>
      </w:r>
    </w:p>
    <w:p w14:paraId="7425C924" w14:textId="77777777" w:rsidR="00FA3579" w:rsidRPr="00BF780C" w:rsidRDefault="00FA3579" w:rsidP="00FA3579">
      <w:pPr>
        <w:jc w:val="both"/>
        <w:rPr>
          <w:sz w:val="20"/>
          <w:szCs w:val="20"/>
        </w:rPr>
      </w:pPr>
      <w:r w:rsidRPr="00BF780C">
        <w:rPr>
          <w:sz w:val="20"/>
          <w:szCs w:val="20"/>
        </w:rPr>
        <w:t xml:space="preserve">Projects successfully completing this stage of the commercialisation journey may be eligible to apply for further funding support through the HGSP. </w:t>
      </w:r>
    </w:p>
    <w:p w14:paraId="607E31D0" w14:textId="25BE5B14" w:rsidR="00B55E6D" w:rsidRPr="00CB2B0B" w:rsidRDefault="00166510" w:rsidP="00007118">
      <w:pPr>
        <w:jc w:val="both"/>
      </w:pPr>
      <w:r w:rsidRPr="00BF780C">
        <w:rPr>
          <w:sz w:val="20"/>
          <w:szCs w:val="20"/>
        </w:rPr>
        <w:t>Dependent on no. of projects supported and size of cohort, a</w:t>
      </w:r>
      <w:r w:rsidR="00D203E4" w:rsidRPr="00BF780C">
        <w:rPr>
          <w:sz w:val="20"/>
          <w:szCs w:val="20"/>
        </w:rPr>
        <w:t xml:space="preserve">n early-stage education programme covering areas such as </w:t>
      </w:r>
      <w:r w:rsidR="007F4C9F" w:rsidRPr="00BF780C">
        <w:rPr>
          <w:sz w:val="20"/>
          <w:szCs w:val="20"/>
        </w:rPr>
        <w:t xml:space="preserve">leadership, investment strategy and </w:t>
      </w:r>
      <w:r w:rsidR="00432BFB" w:rsidRPr="00BF780C">
        <w:rPr>
          <w:sz w:val="20"/>
          <w:szCs w:val="20"/>
        </w:rPr>
        <w:t xml:space="preserve">business planning </w:t>
      </w:r>
      <w:r w:rsidR="00D203E4" w:rsidRPr="00BF780C">
        <w:rPr>
          <w:sz w:val="20"/>
          <w:szCs w:val="20"/>
        </w:rPr>
        <w:t xml:space="preserve">may </w:t>
      </w:r>
      <w:r w:rsidR="00432BFB" w:rsidRPr="00BF780C">
        <w:rPr>
          <w:sz w:val="20"/>
          <w:szCs w:val="20"/>
        </w:rPr>
        <w:t>also form part of the support available.</w:t>
      </w:r>
    </w:p>
    <w:sectPr w:rsidR="00B55E6D" w:rsidRPr="00CB2B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7781" w14:textId="77777777" w:rsidR="00126C3A" w:rsidRDefault="00126C3A" w:rsidP="00F57CCA">
      <w:pPr>
        <w:spacing w:after="0" w:line="240" w:lineRule="auto"/>
      </w:pPr>
      <w:r>
        <w:separator/>
      </w:r>
    </w:p>
  </w:endnote>
  <w:endnote w:type="continuationSeparator" w:id="0">
    <w:p w14:paraId="7309F32A" w14:textId="77777777" w:rsidR="00126C3A" w:rsidRDefault="00126C3A" w:rsidP="00F5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75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8876" w14:textId="77777777" w:rsidR="00126C3A" w:rsidRDefault="00126C3A" w:rsidP="00F57CCA">
      <w:pPr>
        <w:spacing w:after="0" w:line="240" w:lineRule="auto"/>
      </w:pPr>
      <w:r>
        <w:separator/>
      </w:r>
    </w:p>
  </w:footnote>
  <w:footnote w:type="continuationSeparator" w:id="0">
    <w:p w14:paraId="04A3B59B" w14:textId="77777777" w:rsidR="00126C3A" w:rsidRDefault="00126C3A" w:rsidP="00F5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6083" w14:textId="77777777" w:rsidR="00B60585" w:rsidRPr="00B60585" w:rsidRDefault="006C3212" w:rsidP="00F57CCA">
    <w:pPr>
      <w:jc w:val="center"/>
      <w:rPr>
        <w:b/>
        <w:bCs/>
        <w:color w:val="2F5496" w:themeColor="accent1" w:themeShade="BF"/>
        <w:sz w:val="32"/>
        <w:szCs w:val="32"/>
      </w:rPr>
    </w:pPr>
    <w:r w:rsidRPr="00B60585">
      <w:rPr>
        <w:rFonts w:cs="HelveticaNeueLT75Bold"/>
        <w:b/>
        <w:bCs/>
        <w:noProof/>
        <w:color w:val="002F5F"/>
        <w:sz w:val="32"/>
        <w:szCs w:val="32"/>
        <w:lang w:eastAsia="en-GB"/>
      </w:rPr>
      <w:drawing>
        <wp:anchor distT="0" distB="0" distL="114300" distR="114300" simplePos="0" relativeHeight="251659264" behindDoc="0" locked="0" layoutInCell="1" allowOverlap="1" wp14:anchorId="1DD4FE29" wp14:editId="14FB20A9">
          <wp:simplePos x="0" y="0"/>
          <wp:positionH relativeFrom="page">
            <wp:posOffset>6315075</wp:posOffset>
          </wp:positionH>
          <wp:positionV relativeFrom="paragraph">
            <wp:posOffset>-297815</wp:posOffset>
          </wp:positionV>
          <wp:extent cx="1054100" cy="828675"/>
          <wp:effectExtent l="0" t="0" r="0" b="952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54100" cy="82867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F57CCA" w:rsidRPr="00B60585">
      <w:rPr>
        <w:b/>
        <w:bCs/>
        <w:color w:val="2F5496" w:themeColor="accent1" w:themeShade="BF"/>
        <w:sz w:val="32"/>
        <w:szCs w:val="32"/>
      </w:rPr>
      <w:t xml:space="preserve">High-Growth Spinout Programme Funding Call – </w:t>
    </w:r>
  </w:p>
  <w:p w14:paraId="3D7C056E" w14:textId="79B7CBB9" w:rsidR="00F57CCA" w:rsidRPr="00B60585" w:rsidRDefault="00F57CCA" w:rsidP="00F57CCA">
    <w:pPr>
      <w:jc w:val="center"/>
      <w:rPr>
        <w:b/>
        <w:bCs/>
        <w:color w:val="2F5496" w:themeColor="accent1" w:themeShade="BF"/>
        <w:sz w:val="32"/>
        <w:szCs w:val="32"/>
      </w:rPr>
    </w:pPr>
    <w:r w:rsidRPr="00B60585">
      <w:rPr>
        <w:b/>
        <w:bCs/>
        <w:color w:val="2F5496" w:themeColor="accent1" w:themeShade="BF"/>
        <w:sz w:val="32"/>
        <w:szCs w:val="32"/>
      </w:rPr>
      <w:t>Digital Health and Data</w:t>
    </w:r>
  </w:p>
  <w:p w14:paraId="69D156A8" w14:textId="03752DF6" w:rsidR="00F57CCA" w:rsidRDefault="00F57CCA">
    <w:pPr>
      <w:pStyle w:val="Header"/>
    </w:pPr>
  </w:p>
  <w:p w14:paraId="0E32F4E4" w14:textId="29D5E658" w:rsidR="00F57CCA" w:rsidRDefault="00F5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B2C38"/>
    <w:multiLevelType w:val="hybridMultilevel"/>
    <w:tmpl w:val="3B20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95E83"/>
    <w:multiLevelType w:val="hybridMultilevel"/>
    <w:tmpl w:val="1D6A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86030"/>
    <w:multiLevelType w:val="hybridMultilevel"/>
    <w:tmpl w:val="7E1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56A75"/>
    <w:multiLevelType w:val="hybridMultilevel"/>
    <w:tmpl w:val="CB4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C60633"/>
    <w:multiLevelType w:val="hybridMultilevel"/>
    <w:tmpl w:val="C406BD50"/>
    <w:lvl w:ilvl="0" w:tplc="8604E94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592F1689"/>
    <w:multiLevelType w:val="hybridMultilevel"/>
    <w:tmpl w:val="57B6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A1"/>
    <w:rsid w:val="00007118"/>
    <w:rsid w:val="0001012A"/>
    <w:rsid w:val="00030FFE"/>
    <w:rsid w:val="0003145D"/>
    <w:rsid w:val="00063CFA"/>
    <w:rsid w:val="000F6B34"/>
    <w:rsid w:val="00126C3A"/>
    <w:rsid w:val="00155A38"/>
    <w:rsid w:val="00163AAA"/>
    <w:rsid w:val="00166510"/>
    <w:rsid w:val="001763F4"/>
    <w:rsid w:val="0019750C"/>
    <w:rsid w:val="001B32B1"/>
    <w:rsid w:val="001B652C"/>
    <w:rsid w:val="00214970"/>
    <w:rsid w:val="00221CD9"/>
    <w:rsid w:val="00247AA1"/>
    <w:rsid w:val="002A412F"/>
    <w:rsid w:val="00316444"/>
    <w:rsid w:val="0032397A"/>
    <w:rsid w:val="003243AA"/>
    <w:rsid w:val="003409C6"/>
    <w:rsid w:val="00362A41"/>
    <w:rsid w:val="003861ED"/>
    <w:rsid w:val="0039467F"/>
    <w:rsid w:val="003C7576"/>
    <w:rsid w:val="003D16E4"/>
    <w:rsid w:val="00412B4A"/>
    <w:rsid w:val="00417074"/>
    <w:rsid w:val="004317B2"/>
    <w:rsid w:val="00432BFB"/>
    <w:rsid w:val="00474179"/>
    <w:rsid w:val="004B54E8"/>
    <w:rsid w:val="0051463B"/>
    <w:rsid w:val="005251E4"/>
    <w:rsid w:val="0053384B"/>
    <w:rsid w:val="00547379"/>
    <w:rsid w:val="005A743E"/>
    <w:rsid w:val="005D7D26"/>
    <w:rsid w:val="00635C05"/>
    <w:rsid w:val="00637F5A"/>
    <w:rsid w:val="006502A9"/>
    <w:rsid w:val="00666B8C"/>
    <w:rsid w:val="006B7E74"/>
    <w:rsid w:val="006C3212"/>
    <w:rsid w:val="006D486E"/>
    <w:rsid w:val="00730E73"/>
    <w:rsid w:val="007410AA"/>
    <w:rsid w:val="00741F50"/>
    <w:rsid w:val="0077593C"/>
    <w:rsid w:val="00794568"/>
    <w:rsid w:val="0079681D"/>
    <w:rsid w:val="007D0784"/>
    <w:rsid w:val="007F4C9F"/>
    <w:rsid w:val="0082081D"/>
    <w:rsid w:val="00857307"/>
    <w:rsid w:val="00860F95"/>
    <w:rsid w:val="008A23A8"/>
    <w:rsid w:val="009015BF"/>
    <w:rsid w:val="00945B53"/>
    <w:rsid w:val="00970BCF"/>
    <w:rsid w:val="00986206"/>
    <w:rsid w:val="009A41B9"/>
    <w:rsid w:val="009C1A25"/>
    <w:rsid w:val="009E414C"/>
    <w:rsid w:val="009F6622"/>
    <w:rsid w:val="00A1492B"/>
    <w:rsid w:val="00A36658"/>
    <w:rsid w:val="00A67C71"/>
    <w:rsid w:val="00A75C4C"/>
    <w:rsid w:val="00A84C12"/>
    <w:rsid w:val="00AC429B"/>
    <w:rsid w:val="00AD17EC"/>
    <w:rsid w:val="00AE7AE3"/>
    <w:rsid w:val="00AF6EF8"/>
    <w:rsid w:val="00B112E0"/>
    <w:rsid w:val="00B41819"/>
    <w:rsid w:val="00B50502"/>
    <w:rsid w:val="00B55E6D"/>
    <w:rsid w:val="00B60585"/>
    <w:rsid w:val="00B85E83"/>
    <w:rsid w:val="00BB71B8"/>
    <w:rsid w:val="00BF7347"/>
    <w:rsid w:val="00BF780C"/>
    <w:rsid w:val="00C26DD4"/>
    <w:rsid w:val="00C71198"/>
    <w:rsid w:val="00C8060C"/>
    <w:rsid w:val="00C91AA3"/>
    <w:rsid w:val="00C941F6"/>
    <w:rsid w:val="00CB2B0B"/>
    <w:rsid w:val="00CB5A43"/>
    <w:rsid w:val="00CC0A39"/>
    <w:rsid w:val="00D203E4"/>
    <w:rsid w:val="00D26458"/>
    <w:rsid w:val="00D3717F"/>
    <w:rsid w:val="00D41A68"/>
    <w:rsid w:val="00D73499"/>
    <w:rsid w:val="00D845E6"/>
    <w:rsid w:val="00DA0951"/>
    <w:rsid w:val="00DE4165"/>
    <w:rsid w:val="00E045D5"/>
    <w:rsid w:val="00E169EE"/>
    <w:rsid w:val="00E37E5C"/>
    <w:rsid w:val="00E667B4"/>
    <w:rsid w:val="00E75B96"/>
    <w:rsid w:val="00E91EA5"/>
    <w:rsid w:val="00EA5F44"/>
    <w:rsid w:val="00EE5B77"/>
    <w:rsid w:val="00F57CCA"/>
    <w:rsid w:val="00F75C34"/>
    <w:rsid w:val="00FA3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9E7A"/>
  <w15:chartTrackingRefBased/>
  <w15:docId w15:val="{C6D71A5D-5989-4146-87D3-784ACC7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179"/>
    <w:pPr>
      <w:ind w:left="720"/>
      <w:contextualSpacing/>
    </w:pPr>
  </w:style>
  <w:style w:type="character" w:customStyle="1" w:styleId="normaltextrun">
    <w:name w:val="normaltextrun"/>
    <w:basedOn w:val="DefaultParagraphFont"/>
    <w:rsid w:val="00474179"/>
  </w:style>
  <w:style w:type="character" w:styleId="Hyperlink">
    <w:name w:val="Hyperlink"/>
    <w:basedOn w:val="DefaultParagraphFont"/>
    <w:uiPriority w:val="99"/>
    <w:unhideWhenUsed/>
    <w:rsid w:val="00970BCF"/>
    <w:rPr>
      <w:color w:val="0563C1" w:themeColor="hyperlink"/>
      <w:u w:val="single"/>
    </w:rPr>
  </w:style>
  <w:style w:type="character" w:styleId="UnresolvedMention">
    <w:name w:val="Unresolved Mention"/>
    <w:basedOn w:val="DefaultParagraphFont"/>
    <w:uiPriority w:val="99"/>
    <w:semiHidden/>
    <w:unhideWhenUsed/>
    <w:rsid w:val="00970BCF"/>
    <w:rPr>
      <w:color w:val="605E5C"/>
      <w:shd w:val="clear" w:color="auto" w:fill="E1DFDD"/>
    </w:rPr>
  </w:style>
  <w:style w:type="character" w:customStyle="1" w:styleId="eop">
    <w:name w:val="eop"/>
    <w:basedOn w:val="DefaultParagraphFont"/>
    <w:rsid w:val="00AF6EF8"/>
  </w:style>
  <w:style w:type="paragraph" w:styleId="Header">
    <w:name w:val="header"/>
    <w:basedOn w:val="Normal"/>
    <w:link w:val="HeaderChar"/>
    <w:uiPriority w:val="99"/>
    <w:unhideWhenUsed/>
    <w:rsid w:val="00F57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CCA"/>
  </w:style>
  <w:style w:type="paragraph" w:styleId="Footer">
    <w:name w:val="footer"/>
    <w:basedOn w:val="Normal"/>
    <w:link w:val="FooterChar"/>
    <w:uiPriority w:val="99"/>
    <w:unhideWhenUsed/>
    <w:rsid w:val="00F57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CCA"/>
  </w:style>
  <w:style w:type="table" w:styleId="TableGrid">
    <w:name w:val="Table Grid"/>
    <w:basedOn w:val="TableNormal"/>
    <w:uiPriority w:val="39"/>
    <w:rsid w:val="00030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6109">
      <w:bodyDiv w:val="1"/>
      <w:marLeft w:val="0"/>
      <w:marRight w:val="0"/>
      <w:marTop w:val="0"/>
      <w:marBottom w:val="0"/>
      <w:divBdr>
        <w:top w:val="none" w:sz="0" w:space="0" w:color="auto"/>
        <w:left w:val="none" w:sz="0" w:space="0" w:color="auto"/>
        <w:bottom w:val="none" w:sz="0" w:space="0" w:color="auto"/>
        <w:right w:val="none" w:sz="0" w:space="0" w:color="auto"/>
      </w:divBdr>
      <w:divsChild>
        <w:div w:id="1285886825">
          <w:marLeft w:val="0"/>
          <w:marRight w:val="0"/>
          <w:marTop w:val="0"/>
          <w:marBottom w:val="0"/>
          <w:divBdr>
            <w:top w:val="none" w:sz="0" w:space="0" w:color="auto"/>
            <w:left w:val="none" w:sz="0" w:space="0" w:color="auto"/>
            <w:bottom w:val="none" w:sz="0" w:space="0" w:color="auto"/>
            <w:right w:val="none" w:sz="0" w:space="0" w:color="auto"/>
          </w:divBdr>
        </w:div>
        <w:div w:id="1638563626">
          <w:marLeft w:val="0"/>
          <w:marRight w:val="0"/>
          <w:marTop w:val="0"/>
          <w:marBottom w:val="0"/>
          <w:divBdr>
            <w:top w:val="none" w:sz="0" w:space="0" w:color="auto"/>
            <w:left w:val="none" w:sz="0" w:space="0" w:color="auto"/>
            <w:bottom w:val="none" w:sz="0" w:space="0" w:color="auto"/>
            <w:right w:val="none" w:sz="0" w:space="0" w:color="auto"/>
          </w:divBdr>
        </w:div>
      </w:divsChild>
    </w:div>
    <w:div w:id="311251024">
      <w:bodyDiv w:val="1"/>
      <w:marLeft w:val="0"/>
      <w:marRight w:val="0"/>
      <w:marTop w:val="0"/>
      <w:marBottom w:val="0"/>
      <w:divBdr>
        <w:top w:val="none" w:sz="0" w:space="0" w:color="auto"/>
        <w:left w:val="none" w:sz="0" w:space="0" w:color="auto"/>
        <w:bottom w:val="none" w:sz="0" w:space="0" w:color="auto"/>
        <w:right w:val="none" w:sz="0" w:space="0" w:color="auto"/>
      </w:divBdr>
      <w:divsChild>
        <w:div w:id="1186210617">
          <w:marLeft w:val="0"/>
          <w:marRight w:val="0"/>
          <w:marTop w:val="0"/>
          <w:marBottom w:val="0"/>
          <w:divBdr>
            <w:top w:val="none" w:sz="0" w:space="0" w:color="auto"/>
            <w:left w:val="none" w:sz="0" w:space="0" w:color="auto"/>
            <w:bottom w:val="none" w:sz="0" w:space="0" w:color="auto"/>
            <w:right w:val="none" w:sz="0" w:space="0" w:color="auto"/>
          </w:divBdr>
        </w:div>
        <w:div w:id="1147090933">
          <w:marLeft w:val="0"/>
          <w:marRight w:val="0"/>
          <w:marTop w:val="0"/>
          <w:marBottom w:val="0"/>
          <w:divBdr>
            <w:top w:val="none" w:sz="0" w:space="0" w:color="auto"/>
            <w:left w:val="none" w:sz="0" w:space="0" w:color="auto"/>
            <w:bottom w:val="none" w:sz="0" w:space="0" w:color="auto"/>
            <w:right w:val="none" w:sz="0" w:space="0" w:color="auto"/>
          </w:divBdr>
        </w:div>
        <w:div w:id="1054160210">
          <w:marLeft w:val="0"/>
          <w:marRight w:val="0"/>
          <w:marTop w:val="0"/>
          <w:marBottom w:val="0"/>
          <w:divBdr>
            <w:top w:val="none" w:sz="0" w:space="0" w:color="auto"/>
            <w:left w:val="none" w:sz="0" w:space="0" w:color="auto"/>
            <w:bottom w:val="none" w:sz="0" w:space="0" w:color="auto"/>
            <w:right w:val="none" w:sz="0" w:space="0" w:color="auto"/>
          </w:divBdr>
        </w:div>
      </w:divsChild>
    </w:div>
    <w:div w:id="933781360">
      <w:bodyDiv w:val="1"/>
      <w:marLeft w:val="0"/>
      <w:marRight w:val="0"/>
      <w:marTop w:val="0"/>
      <w:marBottom w:val="0"/>
      <w:divBdr>
        <w:top w:val="none" w:sz="0" w:space="0" w:color="auto"/>
        <w:left w:val="none" w:sz="0" w:space="0" w:color="auto"/>
        <w:bottom w:val="none" w:sz="0" w:space="0" w:color="auto"/>
        <w:right w:val="none" w:sz="0" w:space="0" w:color="auto"/>
      </w:divBdr>
    </w:div>
    <w:div w:id="1567305180">
      <w:bodyDiv w:val="1"/>
      <w:marLeft w:val="0"/>
      <w:marRight w:val="0"/>
      <w:marTop w:val="0"/>
      <w:marBottom w:val="0"/>
      <w:divBdr>
        <w:top w:val="none" w:sz="0" w:space="0" w:color="auto"/>
        <w:left w:val="none" w:sz="0" w:space="0" w:color="auto"/>
        <w:bottom w:val="none" w:sz="0" w:space="0" w:color="auto"/>
        <w:right w:val="none" w:sz="0" w:space="0" w:color="auto"/>
      </w:divBdr>
      <w:divsChild>
        <w:div w:id="1013343694">
          <w:marLeft w:val="0"/>
          <w:marRight w:val="0"/>
          <w:marTop w:val="0"/>
          <w:marBottom w:val="0"/>
          <w:divBdr>
            <w:top w:val="none" w:sz="0" w:space="0" w:color="auto"/>
            <w:left w:val="none" w:sz="0" w:space="0" w:color="auto"/>
            <w:bottom w:val="none" w:sz="0" w:space="0" w:color="auto"/>
            <w:right w:val="none" w:sz="0" w:space="0" w:color="auto"/>
          </w:divBdr>
        </w:div>
        <w:div w:id="774792208">
          <w:marLeft w:val="0"/>
          <w:marRight w:val="0"/>
          <w:marTop w:val="0"/>
          <w:marBottom w:val="0"/>
          <w:divBdr>
            <w:top w:val="none" w:sz="0" w:space="0" w:color="auto"/>
            <w:left w:val="none" w:sz="0" w:space="0" w:color="auto"/>
            <w:bottom w:val="none" w:sz="0" w:space="0" w:color="auto"/>
            <w:right w:val="none" w:sz="0" w:space="0" w:color="auto"/>
          </w:divBdr>
        </w:div>
        <w:div w:id="1379428352">
          <w:marLeft w:val="0"/>
          <w:marRight w:val="0"/>
          <w:marTop w:val="0"/>
          <w:marBottom w:val="0"/>
          <w:divBdr>
            <w:top w:val="none" w:sz="0" w:space="0" w:color="auto"/>
            <w:left w:val="none" w:sz="0" w:space="0" w:color="auto"/>
            <w:bottom w:val="none" w:sz="0" w:space="0" w:color="auto"/>
            <w:right w:val="none" w:sz="0" w:space="0" w:color="auto"/>
          </w:divBdr>
        </w:div>
      </w:divsChild>
    </w:div>
    <w:div w:id="1628047716">
      <w:bodyDiv w:val="1"/>
      <w:marLeft w:val="0"/>
      <w:marRight w:val="0"/>
      <w:marTop w:val="0"/>
      <w:marBottom w:val="0"/>
      <w:divBdr>
        <w:top w:val="none" w:sz="0" w:space="0" w:color="auto"/>
        <w:left w:val="none" w:sz="0" w:space="0" w:color="auto"/>
        <w:bottom w:val="none" w:sz="0" w:space="0" w:color="auto"/>
        <w:right w:val="none" w:sz="0" w:space="0" w:color="auto"/>
      </w:divBdr>
      <w:divsChild>
        <w:div w:id="2098862513">
          <w:marLeft w:val="0"/>
          <w:marRight w:val="0"/>
          <w:marTop w:val="0"/>
          <w:marBottom w:val="0"/>
          <w:divBdr>
            <w:top w:val="none" w:sz="0" w:space="0" w:color="auto"/>
            <w:left w:val="none" w:sz="0" w:space="0" w:color="auto"/>
            <w:bottom w:val="none" w:sz="0" w:space="0" w:color="auto"/>
            <w:right w:val="none" w:sz="0" w:space="0" w:color="auto"/>
          </w:divBdr>
          <w:divsChild>
            <w:div w:id="364335509">
              <w:marLeft w:val="0"/>
              <w:marRight w:val="0"/>
              <w:marTop w:val="0"/>
              <w:marBottom w:val="0"/>
              <w:divBdr>
                <w:top w:val="none" w:sz="0" w:space="0" w:color="auto"/>
                <w:left w:val="none" w:sz="0" w:space="0" w:color="auto"/>
                <w:bottom w:val="none" w:sz="0" w:space="0" w:color="auto"/>
                <w:right w:val="none" w:sz="0" w:space="0" w:color="auto"/>
              </w:divBdr>
            </w:div>
            <w:div w:id="1667897380">
              <w:marLeft w:val="0"/>
              <w:marRight w:val="0"/>
              <w:marTop w:val="0"/>
              <w:marBottom w:val="0"/>
              <w:divBdr>
                <w:top w:val="none" w:sz="0" w:space="0" w:color="auto"/>
                <w:left w:val="none" w:sz="0" w:space="0" w:color="auto"/>
                <w:bottom w:val="none" w:sz="0" w:space="0" w:color="auto"/>
                <w:right w:val="none" w:sz="0" w:space="0" w:color="auto"/>
              </w:divBdr>
            </w:div>
            <w:div w:id="1713727048">
              <w:marLeft w:val="0"/>
              <w:marRight w:val="0"/>
              <w:marTop w:val="0"/>
              <w:marBottom w:val="0"/>
              <w:divBdr>
                <w:top w:val="none" w:sz="0" w:space="0" w:color="auto"/>
                <w:left w:val="none" w:sz="0" w:space="0" w:color="auto"/>
                <w:bottom w:val="none" w:sz="0" w:space="0" w:color="auto"/>
                <w:right w:val="none" w:sz="0" w:space="0" w:color="auto"/>
              </w:divBdr>
            </w:div>
          </w:divsChild>
        </w:div>
        <w:div w:id="1991054206">
          <w:marLeft w:val="0"/>
          <w:marRight w:val="0"/>
          <w:marTop w:val="0"/>
          <w:marBottom w:val="0"/>
          <w:divBdr>
            <w:top w:val="none" w:sz="0" w:space="0" w:color="auto"/>
            <w:left w:val="none" w:sz="0" w:space="0" w:color="auto"/>
            <w:bottom w:val="none" w:sz="0" w:space="0" w:color="auto"/>
            <w:right w:val="none" w:sz="0" w:space="0" w:color="auto"/>
          </w:divBdr>
          <w:divsChild>
            <w:div w:id="11348724">
              <w:marLeft w:val="0"/>
              <w:marRight w:val="0"/>
              <w:marTop w:val="0"/>
              <w:marBottom w:val="0"/>
              <w:divBdr>
                <w:top w:val="none" w:sz="0" w:space="0" w:color="auto"/>
                <w:left w:val="none" w:sz="0" w:space="0" w:color="auto"/>
                <w:bottom w:val="none" w:sz="0" w:space="0" w:color="auto"/>
                <w:right w:val="none" w:sz="0" w:space="0" w:color="auto"/>
              </w:divBdr>
            </w:div>
            <w:div w:id="1867787796">
              <w:marLeft w:val="0"/>
              <w:marRight w:val="0"/>
              <w:marTop w:val="0"/>
              <w:marBottom w:val="0"/>
              <w:divBdr>
                <w:top w:val="none" w:sz="0" w:space="0" w:color="auto"/>
                <w:left w:val="none" w:sz="0" w:space="0" w:color="auto"/>
                <w:bottom w:val="none" w:sz="0" w:space="0" w:color="auto"/>
                <w:right w:val="none" w:sz="0" w:space="0" w:color="auto"/>
              </w:divBdr>
            </w:div>
            <w:div w:id="15714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ghGrowthSpinouts@scoten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Murray</dc:creator>
  <cp:keywords/>
  <dc:description/>
  <cp:lastModifiedBy>Ian Murray</cp:lastModifiedBy>
  <cp:revision>2</cp:revision>
  <cp:lastPrinted>2022-09-05T10:22:00Z</cp:lastPrinted>
  <dcterms:created xsi:type="dcterms:W3CDTF">2022-09-05T16:08:00Z</dcterms:created>
  <dcterms:modified xsi:type="dcterms:W3CDTF">2022-09-05T16:08:00Z</dcterms:modified>
</cp:coreProperties>
</file>